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2014/348 vom 12. Oktober 2016</w:t>
      </w:r>
    </w:p>
    <w:p>
      <w:r>
        <w:t>Sg Versicherungsgericht, 2016-10-12, DE</w:t>
      </w:r>
    </w:p>
    <w:p>
      <w:r>
        <w:rPr>
          <w:b/>
        </w:rPr>
        <w:t xml:space="preserve">Quelle: </w:t>
      </w:r>
      <w:r>
        <w:t>https://mcp.opencaselaw.ch/entscheid/sg_publikationen_IV 2014_348</w:t>
      </w:r>
    </w:p>
    <w:p>
      <w:r>
        <w:t>FR: SG_VERSICHERUNGSGERICHT IV 2014/348 du 12 octobre 2016</w:t>
      </w:r>
    </w:p>
    <w:p>
      <w:r>
        <w:t>IT: SG_VERSICHERUNGSGERICHT IV 2014/348 del 12 ottobre 2016</w:t>
      </w:r>
    </w:p>
    <w:p>
      <w:pPr>
        <w:pStyle w:val="Heading2"/>
      </w:pPr>
      <w:r>
        <w:t>Regeste</w:t>
      </w:r>
    </w:p>
    <w:p>
      <w:r>
        <w:t>Art. 28 Abs. 1 IVG. Rentenanspruch. Beweiskaft des bidisziplinären Gutachten bejaht. Prozentvergleich. Kein rentenbegründender Invaliditätsgrad (Entscheid des Versicherungsgerichts des Kantons St. Gallen vom 12. Oktober 2016, IV 2014/348). Bestätigt durch Urteil des Bundesgerichts 8C_759/2016.</w:t>
      </w:r>
    </w:p>
    <w:p>
      <w:pPr>
        <w:pStyle w:val="Heading2"/>
      </w:pPr>
      <w:r>
        <w:t>Erwägungen</w:t>
      </w:r>
    </w:p>
    <w:p>
      <w:r>
        <w:rPr>
          <w:b/>
        </w:rPr>
        <w:t>E. 1</w:t>
      </w:r>
    </w:p>
    <w:p>
      <w:r>
        <w:t>Zwischen den Parteien umstritten und nachfolgend zu prüfen ist der Rentenanspruch beziehungsweise ob eine Invalidität von über 40% ausgewiesen ist. 2.  Streitig ist vorab das Ausmass der Arbeitsfähigkeit der Beschwerdeführerin. 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der Beschwerdeantwort bringt die Beschwerdegegnerin vor, dass die Beschwerdeführerin in einer adaptierten Tätigkeit - anders als in der Verfügung vom 10. Juni 2014, wo die Beschwerdegegnerin noch von einer Arbeitsfähigkeit in einer adaptierten Tätigkeit von 65% ausging - als zu 100% arbeitsfähig betrachtet werden müsse. Aus somatischer Sicht sei eine volle Arbeitsfähigkeit adaptiert anzunehmen und auch in psychiatrischer Hinsicht könnten die Beschwerden überwunden werden. Diese Argumentation stützt die Beschwerdegegnerin hauptsächlich auf die Diagnosen im Verlaufsgutachten vom 19. Dezember 2013 sowie auf die bundesgerichtliche Rechtsprechung BGE 130 V 352. 3.1.1  Dr. I.___ diagnostizierte im Gutachten vom 19. Dezember 2013 in rheumatologischer Hinsicht ein generalisiertes Schmerzsyndrom bei Verdacht auf Schmerzstörung mit fibromyalgischem Beschwerdebild ohne den angegebenen Schmerzgrad erklärenden radiologischen Befund bei leichtgradiger Skoliose (ICD-10: M79.0, M47.8), ein chronisches cervikocephales Schmerzsyndrom mit diffusen Kopfschmerzen angebend bei leichter Dysfunktion der mittleren Halswirbelsäule (ICD-10: M53.0), bei negativem craniocerebralem MRI 03.06.05 mit Verdacht auf Spannungskopfschmerzen (ICD-10: G44.2, differentialdiagnostisch Migräne) sowie ein leichtes panvertebrales Schmerzsyndrom bei leichter, knapp 10 Grad Brustwirbelsäule-Skoliose mit Tendenz zu Haltungsinsuffizienz (ICD-10: M41.2 leichtgradig). In Bezug auf die Arbeitsfähigkeit führt Dr. I.___ aus, dass aus rheumatologischer Sicht in leichten Reinigungstätigkeiten wie bis zum Zeitpunkt der Begutachtung ausgeübt, als Näherin, sowie in leichten industriellen, gut angepassten Tätigkeiten,in Wechselhaltung mit eingehaltener Lasthebegrenze Boden/Tisch repetitiv 5kg und einmalig 7 bis knapp 10kg, Tisch bis Brusthöhe repetitiv 3kg, einmalig 4kg, eine Restarbeitsfähigkeit von 70% (10% Pausenabzug, 20% Leistungsminderung durch Fibromyalgieschmerzen, panvertebralem Schmerz bei leicht skoliotischer Wirbelsäule-Fehlform, leichter nicht progredienter Spondylose, bei längerem Arbeiten vorzeitig ermüdend) bestehe. Als Küchenhilfe bestehe aufgrund der grösseren Belastung eine Restarbeitsfähigkeit von 60% (IV-act. 157-14 ff.). 3.1.2  Die Diagnosen von Dr. J.___ aus psychiatrischer Sicht mit Einfluss auf die Arbeitsfähigkeit lauten auf rezidivierend depressive Störung, aktuell mittelgradige Episode mit somatischem Syndrom (ICD-10: F33.11), anhaltende somatoforme Schmerzstörung im Sinne einer chronischen Schmerzstörung mit somatischen und psychischen Faktoren (ICD-10: F45.41) sowie Status nach Panikattacken (ICD-10: F41.0); ohne Einfluss auf die Arbeitsfähigkeit bestünden Anpassungsprobleme bei Veränderung der Lebensumstände (Z60.0), Probleme in Verbindung mit Berufstätigkeit und Arbeitslosigkeit (Z56) sowie ein Erschöpfungssyndrom (Z73.0) (IV-act. 158-8). Zur Arbeitsfähigkeit hält Dr. J.___ fest, dass diese aus psychiatrischer Sicht bei rund 65% anzusiedeln sei (IV-act. 158-11). 3.1.3  Die Gutachter zeigen nachvollziehbar auf, wie sie zur Einschätzung der Restarbeitsfähigkeit kommen und auf welche diagnostischen Befunde diese Einschätzung abgestützt wird. Den Ausführungen der Beschwerdegegnerin, dass die Unzumutbarkeit einer willentlichen Schmerzüberwindung nur in Ausnahmefällen anzunehmen sei, kann aufgrund der Aufgabe der Überwindbarkeitsvermutung (BGE 141 V 281) nicht gefolgt werden. Ebenso ist es durchaus denkbar, dass die Beschwerden nur teilweise überwunden werden können (vgl. BGE 141 V 281 E. 3.4.2.2), Exploranden mit psychosomatischen Leiden also noch über Ressourcen verfügen, die sie für ein Erwerbsleben sinnvoll nutzen können (JÖRG JEGER, Die neue Rechtsprechung zu psychosomatischen Krankheitsbildern, in: Jusletter 13. Juli 2015). Dr. J.___ begründet in seinem psychiatrischen Gutachten vom 30. November 2013 die Verschlechterung der Arbeitsfähigkeit von 80% (gemäss Gutachten vom 15. Januar 2011, Einschränkungen der Arbeitsfähigkeit aufgrund Konzentrationsstörungen und rascher Erschöpfbarkeit, IV-act. 73-7) auf 65% mit der fortgesetzten Nervosität und der ängstlich-depressiven Grundstimmung seit fast 4 Jahren trotz adäquater Medikation (IV-act. 158-11). Die Beschwerdeführerin leidet vorliegend zudem nicht einzig an einer somatoformen Schmerzstörung. Von wesentlicher Bedeutung ist deshalb, dass vorliegend ein bidisziplinäres Gutachten erstellt wurde und die Restarbeitsfähigkeit im Konsens der Begutachter auf 65% festgelegt wurde. Dazu wurden die Diagnosen beider Disziplinen in ihrer Gesamtheit - und nicht wie es die Beschwerdegegnerin in der Beschwerdeantwort getan hat, jede Disziplin isoliert für sich - hinsichtlich der Restarbeitsfähigkeit ausgewertet; es wurden insbesondere auch die Ressourcen einbezogen (IV-act. 158-9 f.). Nur eine solche gesamthafte Betrachtung führt zu einer korrekten Beurteilung der Restarbeitsfähigkeit. Der Zweck interdisziplinärer Gutachten liegt darin, alle relevanten gesundheitlichen Beeinträchtigungen zu erfassen und die sich daraus je einzeln ergebenden Einschränkungen der Arbeitsfähigkeit in ein Gesamtergebnis zu fassen (Urteil des Bundesgerichtes vom 19. September 2013, 9C_425/2013, E.4.3.1, mit Hinweis auf BGE 137 V 224, E. 1.2.4). Die eigene, nach Disziplinen isolierte Einschätzung des Rechtsdienstes der Beschwerdegegnerin (die zu der im Gegensatz zur Einschätzung des RAD Arztes steht, vgl. IV-act. 159) vermag die Einschätzung der Arbeitsfähigkeit im bidisziplinären Gutachten daher nicht in Zweifel zu ziehen. Es ist nicht ersichtlich, weshalb auf das Gutachten nicht abgestellt resp. weshalb von der darin enthaltenen Einschätzung der Arbeitsfähigkeit der Beschwerdeführerin abgewichen werden soll. 3.2  Der vom Rechtsvertreter der Beschwerdeführerin eingereichte Bericht von Dr. med. M.___, Fachärztin für Psychiatrie und Psychotherapie FMH, vom 19. Mai 2016 (act. G 10.1) beschlägt im Übrigen nicht den  hier allein massgebenden, bis zum Verfügungserlass vom 10. Juni 2014 eingetretenen Sachverhalt, weshalb sich Weiterungen hierzu erübrigen. 3.3  Als Zwischenergebnis ist festzuhalten, dass gestützt auf das bidisziplinäre Gutachten vom 19. Dezember 2013 davon auszugehen ist, dass die Beschwerdeführerin seit der Verlaufsbegutachtung im Oktober 2013 in einer leidensadaptierten Tätigkeit noch eine Arbeitsleistung von 65% erbringen kann.</w:t>
      </w:r>
    </w:p>
    <w:p>
      <w:r>
        <w:rPr>
          <w:b/>
        </w:rPr>
        <w:t>E. 4</w:t>
      </w:r>
    </w:p>
    <w:p>
      <w:r>
        <w:t>4.1  Damit ist im Folgenden der Invaliditätsgrad auf der Basis einer Arbeitsfähigkeit von 65% für leichte, leidensadaptierte Tätigkeiten zu bemessen. 4.2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Art. 8 Abs. 1 des Bundesgesetzes über den Allgemeinen Teil des Sozialversicherungsrechts (ATSG; SR 830.1) umschreibt Invalidität als voraussichtlich bleibende oder längere Zeit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Beeinträchtigungen zu berücksichtigen. Eine Erwerbsunfähigkeit liegt zudem nur vor, wenn sie aus objektiver Sicht nicht überwindbar ist (Art. 7 Abs. 2 ATSG). 4.3  Nach Art. 28 Abs. 2 IVG besteht Anspruch auf eine ganze Invalidenrente, wenn die versicherte Person mindestens zu 70%, auf eine Dreiviertelsrente, wenn sie wenigstens zu 60%, auf eine halbe Rente, wenn sie wenigstens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4.3.1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Die Beschwerdegegnerin hat auf die LSE-Tabellenlöhne 2010 für Frauen im privaten Sektor, TA1, Anforderungsprofil 4, (Fr. 4'225.-- monatlich) als Ausgangswert abgestellt, was einem Jahreslohn (bei 41.7 Stunden betriebsüblicher wöchentlicher Arbeitszeit, Nominallohnentwicklung +1% für das Jahr 2011) von Fr. 53'255.-- entspricht (IV-act. 166). Diese Grundlage für die Berechnung des Invalideneinkommens ist nicht zu beanstanden und von den Parteien auch unbestritten. 4.3.2  Für die Ermittlung des Valideneinkommens ist entscheidend, was die versicherte Person im Zeitpunkt des (allfälligen) Rentenbeginns nach dem Beweisgrad der überwiegenden Wahrscheinlichkeit als Gesunde hätte verdienen können. Dabei wird - primär aus Beweisgründen - in der Regel am zuletzt erzielten, der Teuerung und der realen Einkommensentwicklung angepassten Verdienst angeknüpft, da es empirischer Erfahrung entspricht, dass die bisherige Tätigkeit ohne Gesundheitsschaden fortgesetzt worden wäre (Urteil des Bundesgerichts vom 22. September 2009, 8C_143/2009, E. 2.2.1 mit Hinweisen). Fehlen aussagekräftige konkrete Anhaltspunkte für die Einkommensermittlung, so ist auf Erfahrungs- und Durchschnittswerte zurückzugreifen, wie sie in der LSE enthalten sind (8C_423/2007 mit Hinweis). 4.3.3  Nach den zu Art. 28 Abs. 2 IVG entwickelten Grundsätzen hat der Einkommensvergleich in der Regel in der Weise zu erfolgen, dass die beiden hypothetischen Erwerbseinkommen also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(BGE 114 V 313 E. 3a). Vorliegend geht aus dem Auszug des individuellen Kontos hervor, dass die Beschwerdeführerin in der Vergangenheit erheblich schwankende Einkommen erzielt hat (IV-act. 15). In Übereinstimmung mit der Beschwerdeführerin ist der Validenlohn mangels repräsentativer Grundlage nicht gestützt auf das nur während rund 1 ½ Jahren erzielte Einkommen bei der B.___ AG in der Höhe von Fr. 42'900.-- (IV-act. 16-2) abzustellen. Es ist vielmehr auf derselben Grundlage wie das Invalideneinkommen zu erheben (LSE-Tabellenlöhne für Frauen im privaten Sektor, TA1, Anforderungsprofil 4). Sind Validen- und Invalideneinkommen ausgehend vom selben Tabellenlohn zu berechnen, entspricht der Invaliditätsgrad dem Grad der Arbeitsunfähigkeit unter Berücksichtigung des Abzugs vom Tabellenlohn (sog. Prozentvergleich, vgl. Urteil des Bundesgerichts vom 30. Juli 2012, 8C_365/2012, E. 7 mit Hinweis). 4.4  Zu klären ist damit noch die Frage des Tabellenlohnabzugs bei der Bestimmung des Invalideneinkommens. Der Rechtsvertreter der Beschwerdeführerin verlangt einen leidensbedingten Abzug von 10% sowie einen Abzug von 10% wegen Teilzeittätigkeit.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 erwerblichem Erfolg verwerten kann (Urteil des Bundesgerichts vom 29. April 2014, 9C_848/2014, E. 4.3.1 mit Hinweisen). Obwohl die Beschwerdeführerin aufgrund ihrer Behinderung nur noch leichte, wechselbelastende Tätigkeiten ausüben kann (leichte Reinigungstätigkeiten wie bis zum Zeitpunkt der Begutachtung am 22. Oktober 2013 ausgeübt, Tätigkeit als Näherin, sowie leichte industrielle, gut angepasste Tätigkeiten, IV-act. 157-14), muss ihr dieser Umstand allein nicht zum Nachteil gereichen. Es ist nämlich auch bei eingeschränkter Leistungsfähigkeit noch kein Abzug gerechtfertigt, weil der Tabellenlohn im Anforderungsniveau 4 bereits eine Vielzahl von leichten und mittelschweren Tätigkeiten umfasst (Urteil des Bundesgerichts vom 30. März 2009, 9C_72/2009, E. 3.4 mit Hinweisen). Zu beachten ist zudem, dass allfällige bereits in der Beurteilung der medizinischen Arbeitsfähigkeit enthaltene gesundheitliche Einschränkungen nicht zusätzlich in die Bemessung des leidensbedingten Abzuges einfliessen und so zu einer doppelten Anrechnung desselben Gesichtspunktes führen (Urteil des Bundesgerichts vom 24. Januar 2011, 8C_530/2010, E. 4.2). Der von der Beschwerdeführerin geforderte leidensbedingte Abzug von 10% wird von dieser damit begründet, dass sie gemäss Gutachten an Dauerschmerzen leide. Im Gutachten wird festgehalten, dass eine Restarbeitsfähigkeit von 65% infolge mittlerer Einschränkung der Willenskraft, Schmerzen und Einschränkung, die niedergeschlagene Stimmung zu überwinden, bestehe (IV-act. 157-22 Ziff. 10.1.4.). Aus rheumatologischer Sicht seien im Rahmen der Restarbeitsfähigkeit von 65% bereits vermehrte Kurzpausen und eine allfällige Leistungsminderung berücksichtigt; aus psychiatrischer Sicht bestehe zudem ein reduzierter Antrieb, Einschränkung in Konzentration, rascherer Erschöpfbarkeit mit entsprechend regelmässigem und erhöhtem Pausenbedarf, weshalb gesamthaft eine Restarbeitsfähigkeit adaptiert von 65% bestehe (IV-act. 157-22 f. Ziff. 10.2.1.). Die von der Beschwerdeführerin geltend gemachten Schmerzen wurden somit bereits bei der Arbeitsfähigkeitseinschätzung berücksichtigt. Gleiches gilt für die Leistungsminderung sowie für die vermehrten Kurzpausen, welche im Gutachten bereits in die Einschätzung der Restarbeitsfähigkeit eingeflossen sind. Ein Teilzeitabzug ist gemäss bundesgerichtlicher Rechtsprechung nicht angezeigt, da bei Frauen ein Tabellenlohnabzug für Teilzeit nicht begründet sei (Urteil des Bundesgerichts vom 18. September 2012, 9C_315/2012, E. 3.2.3). Zum Zeitpunkt des Verfügungserlasses war die Beschwerdeführerin 46 Jahre alt, womit auch unter dem Titel Alter kein Abzug anerkannt werden kann. Insgesamt kann damit festgehalten werden, dass ein Tabellenlohnabzug nicht angezeigt ist. 4.5  Beim Prozentvergleich ohne Tabellenlohnabzug entspricht der Invaliditätsgrad dem Grad der Arbeitsunfähigkeit, welche bei einer Restarbeitsfähigkeit von 65% vorliegend bei 35% liegt (E. 3.3). Damit ergibt sich ein rentenausschliessender Invaliditätsgrad von 35%.</w:t>
      </w:r>
    </w:p>
    <w:p>
      <w:r>
        <w:rPr>
          <w:b/>
        </w:rPr>
        <w:t>E. 5</w:t>
      </w:r>
    </w:p>
    <w:p>
      <w:r>
        <w:t>Die Frage, ob die Voraussetzung der einjährigen Wartezeit nach Art. 28 Abs. 1 lit. b IVG im Zeitpunkt des Verfügungserlasses erfüllt war, kann aufgrund des Invaliditätsgrads von unter 40% offen bleiben.</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als angemessen. Der unterliegenden Beschwerdeführerin sind die Gerichtskosten in der Höhe von Fr. 600.-- aufzuerlegen. Zufolge unentgeltlicher Rechtspflege ist sie von der Bezahlung zu befreien. 6.3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hat keine Kostennote eingereicht. Im hier zu beurteilenden Fall erscheint eine Parteientschädigung von pauschal Fr. 3'500.-- (inkl. Barauslagen und Mehrwertsteuer) angemessen. Diese ist um einen Fünftel zu kürzen (Art. 31 Abs. 3 des Anwaltsgesetzes, sGS 963.70). Somit hat der Staat den Rechtsvertreter der Beschwerdeführerin pauschal mit Fr. 2'800.-- (inkl. Barauslagen und Mehrwertsteuer) zu entschädigen. 6.4  Eine Partei, der die unentgeltliche Rechtspflege gewährt wurde, ist zur Nachzahlung verpflichtet, sobald sie dazu in der Lage ist (Art. 123 der Schweizerischen Zivilprozessordnung [ZPO/CH; SR 272] i.V.m. Art. 99 Abs. 2 des Gesetzes über die Verwaltungsrechtspflege [VRP; sGS 951.1]). Entscheid 1. Die Beschwerde wird abgewiesen. 2. Die Beschwerdeführerin wird von der Bezahlung der Gerichtsgebühr in der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